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66F04" w14:textId="0DA54714" w:rsidR="00083AD7" w:rsidRPr="00F82F8E" w:rsidRDefault="00083AD7" w:rsidP="00083AD7">
      <w:pPr>
        <w:spacing w:after="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</w:t>
      </w:r>
      <w:r w:rsidRPr="00773D5E">
        <w:rPr>
          <w:rFonts w:ascii="Arial" w:hAnsi="Arial" w:cs="Arial"/>
          <w:b/>
          <w:sz w:val="28"/>
          <w:szCs w:val="28"/>
        </w:rPr>
        <w:t xml:space="preserve"> </w:t>
      </w:r>
      <w:r w:rsidR="00773D5E" w:rsidRPr="00773D5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ke Smlouvě </w:t>
      </w:r>
      <w:r w:rsidR="00773D5E">
        <w:rPr>
          <w:rFonts w:ascii="Arial" w:hAnsi="Arial" w:cs="Arial"/>
          <w:b/>
          <w:sz w:val="28"/>
          <w:szCs w:val="28"/>
        </w:rPr>
        <w:t xml:space="preserve">č. </w:t>
      </w:r>
      <w:r w:rsidR="00361488">
        <w:rPr>
          <w:rFonts w:ascii="Arial" w:hAnsi="Arial" w:cs="Arial"/>
          <w:b/>
          <w:sz w:val="28"/>
          <w:szCs w:val="28"/>
        </w:rPr>
        <w:t>1/2016</w:t>
      </w:r>
      <w:bookmarkStart w:id="0" w:name="_GoBack"/>
      <w:bookmarkEnd w:id="0"/>
    </w:p>
    <w:p w14:paraId="67ADAA58" w14:textId="77777777" w:rsidR="00083AD7" w:rsidRPr="008F309E" w:rsidRDefault="00083AD7" w:rsidP="00083AD7">
      <w:pPr>
        <w:spacing w:after="80"/>
        <w:jc w:val="center"/>
        <w:rPr>
          <w:rFonts w:ascii="Arial" w:hAnsi="Arial" w:cs="Arial"/>
          <w:b/>
        </w:rPr>
      </w:pPr>
    </w:p>
    <w:p w14:paraId="3EC13705" w14:textId="36DB99C9" w:rsidR="00265D52" w:rsidRDefault="00083AD7" w:rsidP="003E009D">
      <w:pPr>
        <w:pStyle w:val="Nzev"/>
      </w:pPr>
      <w:r w:rsidRPr="00DC00FB">
        <w:t xml:space="preserve">Povinnosti zhotovitele projektové dokumentace </w:t>
      </w:r>
      <w:r w:rsidR="00265D52">
        <w:t xml:space="preserve">a poskytovatele služeb autorského dozoru </w:t>
      </w:r>
      <w:r w:rsidRPr="00DC00FB">
        <w:t>vyplývající z finanční spoluúčasti evropských fondů na přípravě a realizaci projektů</w:t>
      </w:r>
      <w:r w:rsidR="00D60A9B">
        <w:t xml:space="preserve"> v</w:t>
      </w:r>
      <w:r w:rsidR="00265D52">
        <w:t> </w:t>
      </w:r>
      <w:r w:rsidR="00D60A9B">
        <w:t>rámci</w:t>
      </w:r>
    </w:p>
    <w:p w14:paraId="0C6CCD29" w14:textId="15689F00" w:rsidR="00083AD7" w:rsidRPr="00DC00FB" w:rsidRDefault="00361488" w:rsidP="003E009D">
      <w:pPr>
        <w:pStyle w:val="Nzev"/>
      </w:pPr>
      <w:sdt>
        <w:sdtPr>
          <w:rPr>
            <w:color w:val="0070C0"/>
          </w:rPr>
          <w:alias w:val="OP"/>
          <w:tag w:val="OP"/>
          <w:id w:val="-349948496"/>
          <w:placeholder>
            <w:docPart w:val="D3980121AF3B4FEDADA57B4C8B232C26"/>
          </w:placeholder>
          <w15:color w:val="0000FF"/>
          <w:dropDownList>
            <w:listItem w:displayText="Integrovaného regionálního operačního programu" w:value="IROP"/>
            <w:listItem w:displayText="Operačního programu životní prostředí" w:value="OPŽP"/>
          </w:dropDownList>
        </w:sdtPr>
        <w:sdtEndPr/>
        <w:sdtContent>
          <w:r w:rsidR="003E009D">
            <w:rPr>
              <w:color w:val="0070C0"/>
            </w:rPr>
            <w:t>Integrovaného regionálního operačního programu</w:t>
          </w:r>
        </w:sdtContent>
      </w:sdt>
    </w:p>
    <w:p w14:paraId="2204EB4F" w14:textId="77777777" w:rsidR="00DD639A" w:rsidRDefault="00DD639A" w:rsidP="003E009D">
      <w:pPr>
        <w:pStyle w:val="Odstavecseseznamem"/>
        <w:spacing w:after="80"/>
        <w:ind w:left="426"/>
        <w:jc w:val="both"/>
        <w:rPr>
          <w:rFonts w:ascii="Arial" w:hAnsi="Arial" w:cs="Arial"/>
        </w:rPr>
      </w:pPr>
    </w:p>
    <w:p w14:paraId="4BD62056" w14:textId="47F60677" w:rsidR="008D54B4" w:rsidRPr="008E40EA" w:rsidRDefault="00083AD7" w:rsidP="008E40EA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 w:rsidRPr="00393045">
        <w:rPr>
          <w:rFonts w:ascii="Arial" w:hAnsi="Arial" w:cs="Arial"/>
        </w:rPr>
        <w:t>Zhotovitel se zavazuje plnit povinnosti vyplývající z podmínek uvedených v platné verzi výzv</w:t>
      </w:r>
      <w:r w:rsidR="00880B17" w:rsidRPr="00393045">
        <w:rPr>
          <w:rFonts w:ascii="Arial" w:hAnsi="Arial" w:cs="Arial"/>
        </w:rPr>
        <w:t xml:space="preserve">y </w:t>
      </w:r>
      <w:r w:rsidR="00D60A9B">
        <w:rPr>
          <w:rFonts w:ascii="Arial" w:hAnsi="Arial" w:cs="Arial"/>
        </w:rPr>
        <w:t>konkrétního operačního programu</w:t>
      </w:r>
      <w:r w:rsidR="00880B17" w:rsidRPr="00393045">
        <w:rPr>
          <w:rFonts w:ascii="Arial" w:hAnsi="Arial" w:cs="Arial"/>
        </w:rPr>
        <w:t xml:space="preserve">. </w:t>
      </w:r>
      <w:r w:rsidRPr="00393045">
        <w:rPr>
          <w:rFonts w:ascii="Arial" w:hAnsi="Arial" w:cs="Arial"/>
        </w:rPr>
        <w:t>Aktuální dokumenty jsou uvedeny na internetov</w:t>
      </w:r>
      <w:r w:rsidR="00D60A9B">
        <w:rPr>
          <w:rFonts w:ascii="Arial" w:hAnsi="Arial" w:cs="Arial"/>
        </w:rPr>
        <w:t xml:space="preserve">é adrese: </w:t>
      </w:r>
      <w:sdt>
        <w:sdtPr>
          <w:rPr>
            <w:rFonts w:ascii="Arial" w:hAnsi="Arial" w:cs="Arial"/>
            <w:b/>
            <w:color w:val="0070C0"/>
          </w:rPr>
          <w:alias w:val="Web"/>
          <w:tag w:val="Web"/>
          <w:id w:val="961146824"/>
          <w:placeholder>
            <w:docPart w:val="5F271338CD214BE5A944EBCCE1048577"/>
          </w:placeholder>
          <w:comboBox>
            <w:listItem w:displayText="www.dotaceEU.cz/irop " w:value="webirop"/>
            <w:listItem w:displayText="www.opzp.cz" w:value="webopzp"/>
          </w:comboBox>
        </w:sdtPr>
        <w:sdtEndPr/>
        <w:sdtContent>
          <w:r w:rsidR="00D42641">
            <w:rPr>
              <w:rFonts w:ascii="Arial" w:hAnsi="Arial" w:cs="Arial"/>
              <w:b/>
              <w:color w:val="0070C0"/>
            </w:rPr>
            <w:t xml:space="preserve">www.dotaceEU.cz/irop </w:t>
          </w:r>
        </w:sdtContent>
      </w:sdt>
    </w:p>
    <w:p w14:paraId="3039122C" w14:textId="5727CE6E" w:rsidR="008D54B4" w:rsidRPr="00393045" w:rsidRDefault="008D54B4" w:rsidP="008D54B4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 xml:space="preserve">Zhotovitel se zavazuje archivovat veškeré dokumenty související s dílem (Smlouvy o dílo včetně jejích případných dodatků, originály účetních a daňových dokladů, originály projektové dokumentace, atp.) po dobu stanovenou právními předpisy ČR a poskytovatelem dotace, nejméně však po dobu 10 let od vydání pravomocného kolaudačního rozhodnutí (kolaudačního souhlasu), nebo finančního vypořádání </w:t>
      </w:r>
      <w:r w:rsidRPr="00393045">
        <w:rPr>
          <w:rFonts w:ascii="Arial" w:hAnsi="Arial" w:cs="Arial"/>
        </w:rPr>
        <w:t>projektu, nejméně však do 31. prosince 202</w:t>
      </w:r>
      <w:r w:rsidR="001A7250">
        <w:rPr>
          <w:rFonts w:ascii="Arial" w:hAnsi="Arial" w:cs="Arial"/>
        </w:rPr>
        <w:t>8</w:t>
      </w:r>
      <w:r w:rsidRPr="00393045">
        <w:rPr>
          <w:rFonts w:ascii="Arial" w:hAnsi="Arial" w:cs="Arial"/>
        </w:rPr>
        <w:t>.</w:t>
      </w:r>
    </w:p>
    <w:p w14:paraId="187AF8AE" w14:textId="156D9210" w:rsidR="00083AD7" w:rsidRPr="00393045" w:rsidRDefault="00083AD7" w:rsidP="00083AD7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 w:rsidRPr="00393045">
        <w:rPr>
          <w:rFonts w:ascii="Arial" w:hAnsi="Arial" w:cs="Arial"/>
        </w:rPr>
        <w:t>Povinnosti zhotovitele vyplývající z</w:t>
      </w:r>
      <w:r w:rsidR="00D60A9B">
        <w:rPr>
          <w:rFonts w:ascii="Arial" w:hAnsi="Arial" w:cs="Arial"/>
        </w:rPr>
        <w:t xml:space="preserve"> finanční </w:t>
      </w:r>
      <w:r w:rsidRPr="00393045">
        <w:rPr>
          <w:rFonts w:ascii="Arial" w:hAnsi="Arial" w:cs="Arial"/>
        </w:rPr>
        <w:t xml:space="preserve">spoluúčasti </w:t>
      </w:r>
      <w:r w:rsidR="00D60A9B">
        <w:rPr>
          <w:rFonts w:ascii="Arial" w:hAnsi="Arial" w:cs="Arial"/>
        </w:rPr>
        <w:t>evropských fondů:</w:t>
      </w:r>
    </w:p>
    <w:p w14:paraId="40A2E4C2" w14:textId="7A10EA6B" w:rsidR="00083AD7" w:rsidRPr="00DC00FB" w:rsidRDefault="00083AD7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393045">
        <w:rPr>
          <w:rFonts w:ascii="Arial" w:hAnsi="Arial" w:cs="Arial"/>
        </w:rPr>
        <w:t>Každý originální účetní doklad</w:t>
      </w:r>
      <w:r w:rsidRPr="00DC00FB">
        <w:rPr>
          <w:rFonts w:ascii="Arial" w:hAnsi="Arial" w:cs="Arial"/>
        </w:rPr>
        <w:t xml:space="preserve"> musí obsahovat informac</w:t>
      </w:r>
      <w:r>
        <w:rPr>
          <w:rFonts w:ascii="Arial" w:hAnsi="Arial" w:cs="Arial"/>
        </w:rPr>
        <w:t>e</w:t>
      </w:r>
      <w:r w:rsidRPr="00DC00FB">
        <w:rPr>
          <w:rFonts w:ascii="Arial" w:hAnsi="Arial" w:cs="Arial"/>
        </w:rPr>
        <w:t>, že se jedná o projekt související s</w:t>
      </w:r>
      <w:r w:rsidR="00D60A9B">
        <w:rPr>
          <w:rFonts w:ascii="Arial" w:hAnsi="Arial" w:cs="Arial"/>
        </w:rPr>
        <w:t> konkrétním operačním programem</w:t>
      </w:r>
      <w:r>
        <w:rPr>
          <w:rFonts w:ascii="Arial" w:hAnsi="Arial" w:cs="Arial"/>
        </w:rPr>
        <w:t xml:space="preserve">, a dále musí obsahovat </w:t>
      </w:r>
      <w:r w:rsidRPr="00DC00FB">
        <w:rPr>
          <w:rFonts w:ascii="Arial" w:hAnsi="Arial" w:cs="Arial"/>
        </w:rPr>
        <w:t xml:space="preserve">přesný název projektu a registrační číslo projektu. Faktura musí obsahovat účel fakturovaných částek a přesnou specifikaci jednotlivých způsobilých a nezpůsobilých výdajů. Metodika způsobilých výdajů je k dispozici na </w:t>
      </w:r>
      <w:r w:rsidR="005F2CAD">
        <w:rPr>
          <w:rFonts w:ascii="Arial" w:hAnsi="Arial" w:cs="Arial"/>
        </w:rPr>
        <w:t>výše uvedené internetové adrese.</w:t>
      </w:r>
    </w:p>
    <w:p w14:paraId="442EAD22" w14:textId="3AC2E2EA" w:rsidR="00083AD7" w:rsidRPr="00DC00FB" w:rsidRDefault="00083AD7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 xml:space="preserve">Zhotovitel si je vědom, že ve smyslu </w:t>
      </w:r>
      <w:proofErr w:type="spellStart"/>
      <w:r w:rsidRPr="00DC00FB">
        <w:rPr>
          <w:rFonts w:ascii="Arial" w:hAnsi="Arial" w:cs="Arial"/>
        </w:rPr>
        <w:t>ust</w:t>
      </w:r>
      <w:proofErr w:type="spellEnd"/>
      <w:r w:rsidRPr="00DC00FB">
        <w:rPr>
          <w:rFonts w:ascii="Arial" w:hAnsi="Arial" w:cs="Arial"/>
        </w:rPr>
        <w:t xml:space="preserve">. § 2 písm. e) zákona č. 320/2001 Sb. </w:t>
      </w:r>
      <w:r w:rsidR="00C83A5E">
        <w:rPr>
          <w:rFonts w:ascii="Arial" w:hAnsi="Arial" w:cs="Arial"/>
        </w:rPr>
        <w:br/>
      </w:r>
      <w:r w:rsidRPr="00DC00FB">
        <w:rPr>
          <w:rFonts w:ascii="Arial" w:hAnsi="Arial" w:cs="Arial"/>
        </w:rPr>
        <w:t xml:space="preserve">o finanční kontrole ve veřejné správě a o změně některých zákonů ve znění pozdějších předpisů </w:t>
      </w:r>
      <w:r>
        <w:rPr>
          <w:rFonts w:ascii="Arial" w:hAnsi="Arial" w:cs="Arial"/>
        </w:rPr>
        <w:t xml:space="preserve">je </w:t>
      </w:r>
      <w:r w:rsidRPr="00DC00FB">
        <w:rPr>
          <w:rFonts w:ascii="Arial" w:hAnsi="Arial" w:cs="Arial"/>
        </w:rPr>
        <w:t>povinen spolupůsobit při výkonu finanční kontroly.</w:t>
      </w:r>
    </w:p>
    <w:p w14:paraId="4DB4D634" w14:textId="75FE1004" w:rsidR="00083AD7" w:rsidRPr="00DC00FB" w:rsidRDefault="00083AD7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>Zhotovitel se ve spolupráci s objednatelem zavazuje poskytnout bezodkladně kontrolním orgánům jakékoliv dokumenty vztahující se k předmětu projektu, podat informace a umožnit vstup do svého sídla v souvislosti s předmětem díla.</w:t>
      </w:r>
    </w:p>
    <w:p w14:paraId="2D8A7577" w14:textId="77777777" w:rsidR="00083AD7" w:rsidRPr="00DC00FB" w:rsidRDefault="00083AD7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 xml:space="preserve">Zhotovitel se zavazuje poskytnout na výzvu své daňové účetnictví nebo daňovou evidenci k nahlédnutí v rozsahu, který souvisí s předmětem díla. </w:t>
      </w:r>
    </w:p>
    <w:p w14:paraId="33C91146" w14:textId="77777777" w:rsidR="00083AD7" w:rsidRPr="00DC00FB" w:rsidRDefault="00083AD7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>Zhotovitel se dále zavazuje provést v požadovaném termínu, rozsahu a kvalitě opatření k odstranění kontrolních zjištění a informovat o nich příslušný kontrolní orgán, objednatele a poskytovatele dotace.</w:t>
      </w:r>
    </w:p>
    <w:p w14:paraId="43A8895D" w14:textId="51699E31" w:rsidR="00083AD7" w:rsidRPr="00DC00FB" w:rsidRDefault="00083AD7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 xml:space="preserve">Kontrolními orgány se rozumí osoby pověřené ke kontrole Evropskou komisí, Evropským účetním dvorem, Nejvyšším kontrolním úřadem, Ministerstvem financí ČR, </w:t>
      </w:r>
      <w:r w:rsidR="00C83A5E">
        <w:rPr>
          <w:rFonts w:ascii="Arial" w:hAnsi="Arial" w:cs="Arial"/>
        </w:rPr>
        <w:t xml:space="preserve">Centrem pro regionální rozvoj </w:t>
      </w:r>
      <w:r w:rsidR="001A7250">
        <w:rPr>
          <w:rFonts w:ascii="Arial" w:hAnsi="Arial" w:cs="Arial"/>
        </w:rPr>
        <w:t xml:space="preserve">České republiky, Ministerstvem </w:t>
      </w:r>
      <w:r w:rsidR="00C83A5E">
        <w:rPr>
          <w:rFonts w:ascii="Arial" w:hAnsi="Arial" w:cs="Arial"/>
        </w:rPr>
        <w:br/>
      </w:r>
      <w:r w:rsidR="001A7250">
        <w:rPr>
          <w:rFonts w:ascii="Arial" w:hAnsi="Arial" w:cs="Arial"/>
        </w:rPr>
        <w:t>pro místní rozvoj</w:t>
      </w:r>
      <w:r w:rsidRPr="00DC00FB">
        <w:rPr>
          <w:rFonts w:ascii="Arial" w:hAnsi="Arial" w:cs="Arial"/>
        </w:rPr>
        <w:t>, jakož i dalšími orgány oprávněnými k výkonu kontroly (např. státní stavební dohled).</w:t>
      </w:r>
    </w:p>
    <w:p w14:paraId="33AA93F2" w14:textId="77777777" w:rsidR="00083AD7" w:rsidRPr="00DC00FB" w:rsidRDefault="00083AD7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>Zhotovitel bere na vědomí, že poskytovatel dotace je oprávněn provést u projektu nezávislý vnější audit. Zhotovitel je povinen při výkonu auditu spolupůsobit.</w:t>
      </w:r>
    </w:p>
    <w:p w14:paraId="31FA789E" w14:textId="77777777" w:rsidR="00083AD7" w:rsidRDefault="00083AD7" w:rsidP="00083AD7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>Zhotovitel se zavazuje písemně poskytnout na žádost objednatele jakékoliv doplňující informace související s předmětem smlouvy a to ve lhůtě stanovené objednatelem.</w:t>
      </w:r>
    </w:p>
    <w:p w14:paraId="531E1681" w14:textId="77777777" w:rsidR="00887B19" w:rsidRDefault="00887B19" w:rsidP="00887B19">
      <w:pPr>
        <w:pStyle w:val="Odstavecseseznamem"/>
        <w:numPr>
          <w:ilvl w:val="1"/>
          <w:numId w:val="2"/>
        </w:numPr>
        <w:spacing w:after="8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Povinnými nástroji</w:t>
      </w:r>
      <w:r w:rsidRPr="00F906C4">
        <w:rPr>
          <w:rFonts w:ascii="Arial" w:hAnsi="Arial" w:cs="Arial"/>
        </w:rPr>
        <w:t xml:space="preserve"> publicity</w:t>
      </w:r>
      <w:r>
        <w:rPr>
          <w:rFonts w:ascii="Arial" w:hAnsi="Arial" w:cs="Arial"/>
        </w:rPr>
        <w:t xml:space="preserve"> jsou:</w:t>
      </w:r>
    </w:p>
    <w:p w14:paraId="44522955" w14:textId="77777777" w:rsidR="00887B19" w:rsidRDefault="00887B19" w:rsidP="00887B19">
      <w:pPr>
        <w:pStyle w:val="Odstavecseseznamem"/>
        <w:spacing w:after="8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- 1 ks dočasný </w:t>
      </w:r>
      <w:r w:rsidRPr="00F906C4">
        <w:rPr>
          <w:rFonts w:ascii="Arial" w:hAnsi="Arial" w:cs="Arial"/>
        </w:rPr>
        <w:t>billboard</w:t>
      </w:r>
      <w:r>
        <w:rPr>
          <w:rFonts w:ascii="Arial" w:hAnsi="Arial" w:cs="Arial"/>
        </w:rPr>
        <w:t xml:space="preserve"> o rozměrech 5,1 x 2,4 m, umístěný po dobu realizace projektu</w:t>
      </w:r>
      <w:r w:rsidRPr="00F906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místě realizace projektu,</w:t>
      </w:r>
    </w:p>
    <w:p w14:paraId="1F086CE2" w14:textId="77777777" w:rsidR="00887B19" w:rsidRDefault="00887B19" w:rsidP="00887B19">
      <w:pPr>
        <w:pStyle w:val="Odstavecseseznamem"/>
        <w:spacing w:after="8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stálá pamětní deska o rozměrech 0,3 x 0,4 m, umístěná bezprostředně po dokončení realizace projektu v místě realizace projektu.</w:t>
      </w:r>
    </w:p>
    <w:p w14:paraId="2145ED20" w14:textId="6F95CAB1" w:rsidR="00887B19" w:rsidRDefault="00B84082" w:rsidP="00887B19">
      <w:pPr>
        <w:pStyle w:val="Odstavecseseznamem"/>
        <w:spacing w:after="8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  <w:r w:rsidR="00D16F77">
        <w:rPr>
          <w:rFonts w:ascii="Arial" w:hAnsi="Arial" w:cs="Arial"/>
        </w:rPr>
        <w:t xml:space="preserve">požadavek na </w:t>
      </w:r>
      <w:r>
        <w:rPr>
          <w:rFonts w:ascii="Arial" w:hAnsi="Arial" w:cs="Arial"/>
        </w:rPr>
        <w:t>povinné nástroje publicity</w:t>
      </w:r>
      <w:r w:rsidR="00887B19" w:rsidRPr="00F906C4">
        <w:rPr>
          <w:rFonts w:ascii="Arial" w:hAnsi="Arial" w:cs="Arial"/>
        </w:rPr>
        <w:t xml:space="preserve"> zapracuje do projektové dokumentace</w:t>
      </w:r>
      <w:r w:rsidR="00887B19">
        <w:rPr>
          <w:rFonts w:ascii="Arial" w:hAnsi="Arial" w:cs="Arial"/>
        </w:rPr>
        <w:t xml:space="preserve"> (včetně</w:t>
      </w:r>
      <w:r w:rsidR="00887B19" w:rsidRPr="00B1592D">
        <w:rPr>
          <w:rFonts w:ascii="Arial" w:hAnsi="Arial" w:cs="Arial"/>
        </w:rPr>
        <w:t xml:space="preserve"> rozpočtu a soupisu stavebních prací, dodávek a služeb s výkazem výměr</w:t>
      </w:r>
      <w:r w:rsidR="00887B19">
        <w:rPr>
          <w:rFonts w:ascii="Arial" w:hAnsi="Arial" w:cs="Arial"/>
        </w:rPr>
        <w:t>).</w:t>
      </w:r>
      <w:r w:rsidR="00887B19">
        <w:rPr>
          <w:rFonts w:ascii="Arial" w:hAnsi="Arial" w:cs="Arial"/>
          <w:vertAlign w:val="superscript"/>
        </w:rPr>
        <w:t xml:space="preserve"> </w:t>
      </w:r>
    </w:p>
    <w:p w14:paraId="181EED5C" w14:textId="27200BF0" w:rsidR="00083AD7" w:rsidRPr="00DC00FB" w:rsidRDefault="00083AD7" w:rsidP="00083AD7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 xml:space="preserve">Na všech výkresech – legendách, rozpiskách, ve všech zprávách a textech bude uveden </w:t>
      </w:r>
      <w:r w:rsidR="00CA3D32" w:rsidRPr="00CA3D32">
        <w:rPr>
          <w:rFonts w:ascii="Arial" w:hAnsi="Arial" w:cs="Arial"/>
        </w:rPr>
        <w:t>správný, úplný a stejný název projektu</w:t>
      </w:r>
      <w:r w:rsidR="00CA3D32" w:rsidRPr="00C35B5E">
        <w:rPr>
          <w:rFonts w:ascii="Arial" w:hAnsi="Arial" w:cs="Arial"/>
        </w:rPr>
        <w:t xml:space="preserve"> </w:t>
      </w:r>
      <w:r w:rsidR="00CA3D32">
        <w:rPr>
          <w:rFonts w:ascii="Arial" w:hAnsi="Arial" w:cs="Arial"/>
        </w:rPr>
        <w:t>(včetně rozlišení velkých a malých písmen, pomlček, mezer apod.)</w:t>
      </w:r>
      <w:r w:rsidRPr="00DC00FB">
        <w:rPr>
          <w:rFonts w:ascii="Arial" w:hAnsi="Arial" w:cs="Arial"/>
        </w:rPr>
        <w:t xml:space="preserve">, dle </w:t>
      </w:r>
      <w:r>
        <w:rPr>
          <w:rFonts w:ascii="Arial" w:hAnsi="Arial" w:cs="Arial"/>
        </w:rPr>
        <w:t xml:space="preserve">pokynů objednatele tak, aby byl v </w:t>
      </w:r>
      <w:r w:rsidRPr="00DC00FB">
        <w:rPr>
          <w:rFonts w:ascii="Arial" w:hAnsi="Arial" w:cs="Arial"/>
        </w:rPr>
        <w:t>souladu s názvem, pod kterým bude projekt předkládán jako žádost o spolufinancování.</w:t>
      </w:r>
    </w:p>
    <w:p w14:paraId="2050F18A" w14:textId="3C407800" w:rsidR="00083AD7" w:rsidRPr="00DC00FB" w:rsidRDefault="00C83A5E" w:rsidP="00083AD7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083AD7" w:rsidRPr="00DC00FB">
        <w:rPr>
          <w:rFonts w:ascii="Arial" w:hAnsi="Arial" w:cs="Arial"/>
        </w:rPr>
        <w:t>soupisu stavebních prací, dodávek a služeb s výkazem výměr nesmí</w:t>
      </w:r>
      <w:r w:rsidR="00083AD7">
        <w:rPr>
          <w:rFonts w:ascii="Arial" w:hAnsi="Arial" w:cs="Arial"/>
        </w:rPr>
        <w:t xml:space="preserve"> být uvedeny </w:t>
      </w:r>
      <w:r w:rsidR="00083AD7" w:rsidRPr="00DC00FB">
        <w:rPr>
          <w:rFonts w:ascii="Arial" w:hAnsi="Arial" w:cs="Arial"/>
        </w:rPr>
        <w:t xml:space="preserve">žádné položky označeny jako „rezerva“, „provozní vlivy“ nebo „provoz investora“. </w:t>
      </w:r>
      <w:r>
        <w:rPr>
          <w:rFonts w:ascii="Arial" w:hAnsi="Arial" w:cs="Arial"/>
        </w:rPr>
        <w:t>Rovněž zde nesmí být uvedeny náklady</w:t>
      </w:r>
      <w:r w:rsidR="00CA3D32">
        <w:rPr>
          <w:rFonts w:ascii="Arial" w:hAnsi="Arial" w:cs="Arial"/>
        </w:rPr>
        <w:t xml:space="preserve"> na výkon autorského dozoru či technického dozoru investora. V rozpočtu a soupisu musí být položka na zajištění koordinátora BOZP. </w:t>
      </w:r>
    </w:p>
    <w:p w14:paraId="33E386D9" w14:textId="67B77CF2" w:rsidR="008D54B4" w:rsidRPr="00D42641" w:rsidRDefault="001A7250" w:rsidP="001A7250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operačních programů spolufinancovaných z evropských fondů </w:t>
      </w:r>
      <w:r w:rsidRPr="00BE186C">
        <w:rPr>
          <w:rFonts w:ascii="Arial" w:hAnsi="Arial" w:cs="Arial"/>
        </w:rPr>
        <w:t xml:space="preserve">lze podpořit projekty </w:t>
      </w:r>
      <w:r w:rsidR="0097313B">
        <w:rPr>
          <w:rFonts w:ascii="Arial" w:hAnsi="Arial" w:cs="Arial"/>
        </w:rPr>
        <w:t xml:space="preserve">novostaveb a projekty </w:t>
      </w:r>
      <w:r w:rsidRPr="00BE186C">
        <w:rPr>
          <w:rFonts w:ascii="Arial" w:hAnsi="Arial" w:cs="Arial"/>
        </w:rPr>
        <w:t>spočívající v rekonstrukci a modernizaci (nelze podpořit projekty typu oprav</w:t>
      </w:r>
      <w:r>
        <w:rPr>
          <w:rFonts w:ascii="Arial" w:hAnsi="Arial" w:cs="Arial"/>
        </w:rPr>
        <w:t xml:space="preserve">a nebo údržba). Tato skutečnost musí být respektována ve všech částech projektové dokumentace. </w:t>
      </w:r>
      <w:r w:rsidR="004B51A2" w:rsidRPr="00D42641">
        <w:rPr>
          <w:rFonts w:ascii="Arial" w:hAnsi="Arial" w:cs="Arial"/>
        </w:rPr>
        <w:t xml:space="preserve"> </w:t>
      </w:r>
    </w:p>
    <w:p w14:paraId="6924E8C6" w14:textId="70DDE38C" w:rsidR="00083AD7" w:rsidRDefault="00083AD7" w:rsidP="00083AD7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 w:rsidRPr="00DC00FB">
        <w:rPr>
          <w:rFonts w:ascii="Arial" w:hAnsi="Arial" w:cs="Arial"/>
        </w:rPr>
        <w:t xml:space="preserve">Bez ohledu na to, kdo </w:t>
      </w:r>
      <w:r w:rsidR="001F16EE">
        <w:rPr>
          <w:rFonts w:ascii="Arial" w:hAnsi="Arial" w:cs="Arial"/>
        </w:rPr>
        <w:t>je objednatelem</w:t>
      </w:r>
      <w:r w:rsidR="001F16EE" w:rsidRPr="00DC00FB">
        <w:rPr>
          <w:rFonts w:ascii="Arial" w:hAnsi="Arial" w:cs="Arial"/>
        </w:rPr>
        <w:t xml:space="preserve"> projektov</w:t>
      </w:r>
      <w:r w:rsidR="001F16EE">
        <w:rPr>
          <w:rFonts w:ascii="Arial" w:hAnsi="Arial" w:cs="Arial"/>
        </w:rPr>
        <w:t>é</w:t>
      </w:r>
      <w:r w:rsidR="001F16EE" w:rsidRPr="00DC00FB">
        <w:rPr>
          <w:rFonts w:ascii="Arial" w:hAnsi="Arial" w:cs="Arial"/>
        </w:rPr>
        <w:t xml:space="preserve"> </w:t>
      </w:r>
      <w:r w:rsidRPr="00DC00FB">
        <w:rPr>
          <w:rFonts w:ascii="Arial" w:hAnsi="Arial" w:cs="Arial"/>
        </w:rPr>
        <w:t>dokumentac</w:t>
      </w:r>
      <w:r w:rsidR="001F16EE">
        <w:rPr>
          <w:rFonts w:ascii="Arial" w:hAnsi="Arial" w:cs="Arial"/>
        </w:rPr>
        <w:t>e</w:t>
      </w:r>
      <w:r w:rsidRPr="00DC00FB">
        <w:rPr>
          <w:rFonts w:ascii="Arial" w:hAnsi="Arial" w:cs="Arial"/>
        </w:rPr>
        <w:t xml:space="preserve">, </w:t>
      </w:r>
      <w:r w:rsidR="00F906C4">
        <w:rPr>
          <w:rFonts w:ascii="Arial" w:hAnsi="Arial" w:cs="Arial"/>
        </w:rPr>
        <w:t>je</w:t>
      </w:r>
      <w:r w:rsidR="00F906C4" w:rsidRPr="00DC00FB">
        <w:rPr>
          <w:rFonts w:ascii="Arial" w:hAnsi="Arial" w:cs="Arial"/>
        </w:rPr>
        <w:t xml:space="preserve"> </w:t>
      </w:r>
      <w:r w:rsidRPr="00DC00FB">
        <w:rPr>
          <w:rFonts w:ascii="Arial" w:hAnsi="Arial" w:cs="Arial"/>
        </w:rPr>
        <w:t>investorem projektu (stavby), žadatelem o dotaci a příjemcem dotace Pardubický kraj.</w:t>
      </w:r>
    </w:p>
    <w:p w14:paraId="3DA163B1" w14:textId="77777777" w:rsidR="00C83A5E" w:rsidRDefault="00C83A5E" w:rsidP="00C83A5E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Specifická pravidla IROP pro položkový rozpočet </w:t>
      </w:r>
      <w:proofErr w:type="gramStart"/>
      <w:r>
        <w:rPr>
          <w:rFonts w:ascii="Arial" w:hAnsi="Arial" w:cs="Arial"/>
        </w:rPr>
        <w:t>stavby :</w:t>
      </w:r>
      <w:proofErr w:type="gramEnd"/>
    </w:p>
    <w:p w14:paraId="737A57E3" w14:textId="139F8F9C" w:rsidR="00C83A5E" w:rsidRDefault="00C83A5E" w:rsidP="00C83A5E">
      <w:pPr>
        <w:pStyle w:val="Odstavecseseznamem"/>
        <w:spacing w:after="8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A6D80">
        <w:rPr>
          <w:rFonts w:ascii="Arial" w:hAnsi="Arial" w:cs="Arial"/>
        </w:rPr>
        <w:t>oložkový rozpočet stavby podepsaný autorizovaným projektantem</w:t>
      </w:r>
      <w:r>
        <w:rPr>
          <w:rFonts w:ascii="Arial" w:hAnsi="Arial" w:cs="Arial"/>
        </w:rPr>
        <w:t xml:space="preserve"> musí být</w:t>
      </w:r>
      <w:r w:rsidRPr="00CA6D80">
        <w:rPr>
          <w:rFonts w:ascii="Arial" w:hAnsi="Arial" w:cs="Arial"/>
        </w:rPr>
        <w:t xml:space="preserve"> členěný podle jednotného ceníku stavebních prací v cenové úrovni ne starší než k r. 2014 ve formě oceněného soupisu prací</w:t>
      </w:r>
      <w:r>
        <w:rPr>
          <w:rFonts w:ascii="Arial" w:hAnsi="Arial" w:cs="Arial"/>
        </w:rPr>
        <w:t>.</w:t>
      </w:r>
      <w:r w:rsidRPr="00CA6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CA6D80">
        <w:rPr>
          <w:rFonts w:ascii="Arial" w:hAnsi="Arial" w:cs="Arial"/>
        </w:rPr>
        <w:t xml:space="preserve">ozpočet musí vždy obsahovat </w:t>
      </w:r>
      <w:r w:rsidR="00B84082">
        <w:rPr>
          <w:rFonts w:ascii="Arial" w:hAnsi="Arial" w:cs="Arial"/>
        </w:rPr>
        <w:t xml:space="preserve">sloupec, ve kterém je uveden </w:t>
      </w:r>
      <w:r w:rsidRPr="00CA6D80">
        <w:rPr>
          <w:rFonts w:ascii="Arial" w:hAnsi="Arial" w:cs="Arial"/>
        </w:rPr>
        <w:t>odkaz na typ použité cenové soustavy ve tvaru "</w:t>
      </w:r>
      <w:proofErr w:type="spellStart"/>
      <w:r w:rsidRPr="00CA6D80">
        <w:rPr>
          <w:rFonts w:ascii="Arial" w:hAnsi="Arial" w:cs="Arial"/>
        </w:rPr>
        <w:t>rok_typ</w:t>
      </w:r>
      <w:proofErr w:type="spellEnd"/>
      <w:r w:rsidRPr="00CA6D80">
        <w:rPr>
          <w:rFonts w:ascii="Arial" w:hAnsi="Arial" w:cs="Arial"/>
        </w:rPr>
        <w:t xml:space="preserve"> cenové soustavy" (např. "2015_OTSKP" nebo "CS ÚRS 2015 O1" nebo „RTS DATA 2016/I“). </w:t>
      </w:r>
      <w:r>
        <w:rPr>
          <w:rFonts w:ascii="Arial" w:hAnsi="Arial" w:cs="Arial"/>
        </w:rPr>
        <w:t>Rozpočet</w:t>
      </w:r>
      <w:r w:rsidRPr="00CA6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doložen i v</w:t>
      </w:r>
      <w:r w:rsidRPr="00CA6D80">
        <w:rPr>
          <w:rFonts w:ascii="Arial" w:hAnsi="Arial" w:cs="Arial"/>
        </w:rPr>
        <w:t xml:space="preserve"> elektronick</w:t>
      </w:r>
      <w:r>
        <w:rPr>
          <w:rFonts w:ascii="Arial" w:hAnsi="Arial" w:cs="Arial"/>
        </w:rPr>
        <w:t>é</w:t>
      </w:r>
      <w:r w:rsidRPr="00CA6D80">
        <w:rPr>
          <w:rFonts w:ascii="Arial" w:hAnsi="Arial" w:cs="Arial"/>
        </w:rPr>
        <w:t xml:space="preserve"> podob</w:t>
      </w:r>
      <w:r>
        <w:rPr>
          <w:rFonts w:ascii="Arial" w:hAnsi="Arial" w:cs="Arial"/>
        </w:rPr>
        <w:t>ě v otevřeném</w:t>
      </w:r>
      <w:r w:rsidRPr="00CA6D80">
        <w:rPr>
          <w:rFonts w:ascii="Arial" w:hAnsi="Arial" w:cs="Arial"/>
        </w:rPr>
        <w:t xml:space="preserve"> formátu XML</w:t>
      </w:r>
      <w:r>
        <w:rPr>
          <w:rFonts w:ascii="Arial" w:hAnsi="Arial" w:cs="Arial"/>
        </w:rPr>
        <w:t xml:space="preserve"> pro zpracování různými softwarovými programy.</w:t>
      </w:r>
    </w:p>
    <w:p w14:paraId="378AA776" w14:textId="6B552245" w:rsidR="00C83A5E" w:rsidRDefault="00C83A5E" w:rsidP="00C83A5E">
      <w:pPr>
        <w:pStyle w:val="Odstavecseseznamem"/>
        <w:spacing w:after="80"/>
        <w:ind w:left="426"/>
        <w:jc w:val="both"/>
        <w:rPr>
          <w:rFonts w:ascii="Arial" w:hAnsi="Arial" w:cs="Arial"/>
        </w:rPr>
      </w:pPr>
      <w:r w:rsidRPr="00CA6D80">
        <w:rPr>
          <w:rFonts w:ascii="Arial" w:hAnsi="Arial" w:cs="Arial"/>
        </w:rPr>
        <w:t xml:space="preserve">Pokud budou v položkovém rozpočtu uvedeny položky charakteru soubor nebo komplet, musí projektant k použitým jednotkám připojit jejich přesnou specifikaci </w:t>
      </w:r>
      <w:r w:rsidR="00B84082">
        <w:rPr>
          <w:rFonts w:ascii="Arial" w:hAnsi="Arial" w:cs="Arial"/>
        </w:rPr>
        <w:br/>
      </w:r>
      <w:r w:rsidRPr="00CA6D80">
        <w:rPr>
          <w:rFonts w:ascii="Arial" w:hAnsi="Arial" w:cs="Arial"/>
        </w:rPr>
        <w:t>a způsob jejich ocenění. Pokud projektant uvede vlastní položky, které nejsou definovány v použité cenové soustavě, uvede jejich přesnou specifikaci a způsob jejich ocenění.</w:t>
      </w:r>
    </w:p>
    <w:p w14:paraId="2DBE97A7" w14:textId="7C0B796D" w:rsidR="005072CC" w:rsidRDefault="00C83A5E" w:rsidP="00C83A5E">
      <w:pPr>
        <w:pStyle w:val="Odstavecseseznamem"/>
        <w:spacing w:after="80"/>
        <w:ind w:left="426"/>
        <w:jc w:val="both"/>
        <w:rPr>
          <w:rFonts w:ascii="Arial" w:hAnsi="Arial" w:cs="Arial"/>
        </w:rPr>
      </w:pPr>
      <w:r w:rsidRPr="00D05DB2">
        <w:rPr>
          <w:rFonts w:ascii="Arial" w:hAnsi="Arial" w:cs="Arial"/>
        </w:rPr>
        <w:t>Pokud je jednotková cena uvedená projektantem vyšší než jednotková cena uvedená v cenové soustavě, je nutné rozdíl vysvětlit. Výstupem specifikace souborů/kompletů či vysvětlení vyšší jednotkové ceny položek je naskenovaný dokument opatřený podpisem autorizovaného projektanta.</w:t>
      </w:r>
    </w:p>
    <w:p w14:paraId="16FF745F" w14:textId="2545FB68" w:rsidR="005072CC" w:rsidRDefault="005072CC" w:rsidP="005072CC">
      <w:pPr>
        <w:pStyle w:val="Odstavecseseznamem"/>
        <w:numPr>
          <w:ilvl w:val="0"/>
          <w:numId w:val="1"/>
        </w:numPr>
        <w:spacing w:after="80"/>
        <w:ind w:left="426" w:hanging="426"/>
        <w:jc w:val="both"/>
        <w:rPr>
          <w:rFonts w:ascii="Arial" w:hAnsi="Arial" w:cs="Arial"/>
        </w:rPr>
      </w:pPr>
      <w:r w:rsidRPr="005072CC">
        <w:rPr>
          <w:rFonts w:ascii="Arial" w:hAnsi="Arial" w:cs="Arial"/>
        </w:rPr>
        <w:t>Specifická pravidla IROP pro</w:t>
      </w:r>
      <w:r>
        <w:rPr>
          <w:rFonts w:ascii="Arial" w:hAnsi="Arial" w:cs="Arial"/>
        </w:rPr>
        <w:t xml:space="preserve"> podklady dokladující ocenění položek vnitřního </w:t>
      </w:r>
      <w:proofErr w:type="gramStart"/>
      <w:r>
        <w:rPr>
          <w:rFonts w:ascii="Arial" w:hAnsi="Arial" w:cs="Arial"/>
        </w:rPr>
        <w:t>vybavení</w:t>
      </w:r>
      <w:r w:rsidR="00CE5E4D">
        <w:rPr>
          <w:rFonts w:ascii="Arial" w:hAnsi="Arial" w:cs="Arial"/>
        </w:rPr>
        <w:t xml:space="preserve"> :</w:t>
      </w:r>
      <w:proofErr w:type="gramEnd"/>
    </w:p>
    <w:p w14:paraId="1D842EA1" w14:textId="01351B85" w:rsidR="005072CC" w:rsidRPr="005072CC" w:rsidRDefault="005072CC" w:rsidP="005072CC">
      <w:pPr>
        <w:pStyle w:val="Odstavecseseznamem"/>
        <w:spacing w:after="8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Zatímco </w:t>
      </w:r>
      <w:r w:rsidR="004A2943">
        <w:rPr>
          <w:rFonts w:ascii="Arial" w:hAnsi="Arial" w:cs="Arial"/>
        </w:rPr>
        <w:t xml:space="preserve">soupis položek stavebních prací je oceněn pomocí ceníku stavebních prací, k ocenění položek vnitřního vybavení je zapotřebí </w:t>
      </w:r>
      <w:r w:rsidRPr="005072CC">
        <w:rPr>
          <w:rFonts w:ascii="Arial" w:hAnsi="Arial" w:cs="Arial"/>
        </w:rPr>
        <w:t>do</w:t>
      </w:r>
      <w:r w:rsidR="004A2943">
        <w:rPr>
          <w:rFonts w:ascii="Arial" w:hAnsi="Arial" w:cs="Arial"/>
        </w:rPr>
        <w:t xml:space="preserve">ložit </w:t>
      </w:r>
      <w:r w:rsidRPr="005072CC">
        <w:rPr>
          <w:rFonts w:ascii="Arial" w:hAnsi="Arial" w:cs="Arial"/>
        </w:rPr>
        <w:t>provedení průzkumu trhu, tj. písemn</w:t>
      </w:r>
      <w:r w:rsidR="004A2943">
        <w:rPr>
          <w:rFonts w:ascii="Arial" w:hAnsi="Arial" w:cs="Arial"/>
        </w:rPr>
        <w:t>ou</w:t>
      </w:r>
      <w:r w:rsidRPr="005072CC">
        <w:rPr>
          <w:rFonts w:ascii="Arial" w:hAnsi="Arial" w:cs="Arial"/>
        </w:rPr>
        <w:t xml:space="preserve"> či elektronick</w:t>
      </w:r>
      <w:r w:rsidR="004A2943">
        <w:rPr>
          <w:rFonts w:ascii="Arial" w:hAnsi="Arial" w:cs="Arial"/>
        </w:rPr>
        <w:t>ou</w:t>
      </w:r>
      <w:r w:rsidRPr="005072CC">
        <w:rPr>
          <w:rFonts w:ascii="Arial" w:hAnsi="Arial" w:cs="Arial"/>
        </w:rPr>
        <w:t xml:space="preserve"> komunikac</w:t>
      </w:r>
      <w:r w:rsidR="007D056D">
        <w:rPr>
          <w:rFonts w:ascii="Arial" w:hAnsi="Arial" w:cs="Arial"/>
        </w:rPr>
        <w:t>i</w:t>
      </w:r>
      <w:r w:rsidRPr="005072CC">
        <w:rPr>
          <w:rFonts w:ascii="Arial" w:hAnsi="Arial" w:cs="Arial"/>
        </w:rPr>
        <w:t xml:space="preserve"> s oslovenými dodavateli ke kalkulaci cen, ceník dodavatelů, výtisk internetových stránek dodavatele nebo srovnávače cen apod. </w:t>
      </w:r>
    </w:p>
    <w:p w14:paraId="02421EB9" w14:textId="77777777" w:rsidR="00C83A5E" w:rsidRPr="004A2943" w:rsidRDefault="00C83A5E" w:rsidP="004A2943">
      <w:pPr>
        <w:spacing w:after="80"/>
        <w:jc w:val="both"/>
        <w:rPr>
          <w:rFonts w:ascii="Arial" w:hAnsi="Arial" w:cs="Arial"/>
        </w:rPr>
      </w:pPr>
    </w:p>
    <w:sectPr w:rsidR="00C83A5E" w:rsidRPr="004A2943" w:rsidSect="004A294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C5885"/>
    <w:multiLevelType w:val="hybridMultilevel"/>
    <w:tmpl w:val="667E51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9099B"/>
    <w:multiLevelType w:val="hybridMultilevel"/>
    <w:tmpl w:val="5F687080"/>
    <w:lvl w:ilvl="0" w:tplc="0405000F">
      <w:start w:val="1"/>
      <w:numFmt w:val="decimal"/>
      <w:lvlText w:val="%1."/>
      <w:lvlJc w:val="left"/>
      <w:pPr>
        <w:ind w:left="9291" w:hanging="360"/>
      </w:pPr>
    </w:lvl>
    <w:lvl w:ilvl="1" w:tplc="04050019">
      <w:start w:val="1"/>
      <w:numFmt w:val="lowerLetter"/>
      <w:lvlText w:val="%2."/>
      <w:lvlJc w:val="left"/>
      <w:pPr>
        <w:ind w:left="10011" w:hanging="360"/>
      </w:pPr>
    </w:lvl>
    <w:lvl w:ilvl="2" w:tplc="0405001B" w:tentative="1">
      <w:start w:val="1"/>
      <w:numFmt w:val="lowerRoman"/>
      <w:lvlText w:val="%3."/>
      <w:lvlJc w:val="right"/>
      <w:pPr>
        <w:ind w:left="10731" w:hanging="180"/>
      </w:pPr>
    </w:lvl>
    <w:lvl w:ilvl="3" w:tplc="0405000F" w:tentative="1">
      <w:start w:val="1"/>
      <w:numFmt w:val="decimal"/>
      <w:lvlText w:val="%4."/>
      <w:lvlJc w:val="left"/>
      <w:pPr>
        <w:ind w:left="11451" w:hanging="360"/>
      </w:pPr>
    </w:lvl>
    <w:lvl w:ilvl="4" w:tplc="04050019" w:tentative="1">
      <w:start w:val="1"/>
      <w:numFmt w:val="lowerLetter"/>
      <w:lvlText w:val="%5."/>
      <w:lvlJc w:val="left"/>
      <w:pPr>
        <w:ind w:left="12171" w:hanging="360"/>
      </w:pPr>
    </w:lvl>
    <w:lvl w:ilvl="5" w:tplc="0405001B" w:tentative="1">
      <w:start w:val="1"/>
      <w:numFmt w:val="lowerRoman"/>
      <w:lvlText w:val="%6."/>
      <w:lvlJc w:val="right"/>
      <w:pPr>
        <w:ind w:left="12891" w:hanging="180"/>
      </w:pPr>
    </w:lvl>
    <w:lvl w:ilvl="6" w:tplc="0405000F" w:tentative="1">
      <w:start w:val="1"/>
      <w:numFmt w:val="decimal"/>
      <w:lvlText w:val="%7."/>
      <w:lvlJc w:val="left"/>
      <w:pPr>
        <w:ind w:left="13611" w:hanging="360"/>
      </w:pPr>
    </w:lvl>
    <w:lvl w:ilvl="7" w:tplc="04050019" w:tentative="1">
      <w:start w:val="1"/>
      <w:numFmt w:val="lowerLetter"/>
      <w:lvlText w:val="%8."/>
      <w:lvlJc w:val="left"/>
      <w:pPr>
        <w:ind w:left="14331" w:hanging="360"/>
      </w:pPr>
    </w:lvl>
    <w:lvl w:ilvl="8" w:tplc="0405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7"/>
    <w:rsid w:val="00050D45"/>
    <w:rsid w:val="00076DA7"/>
    <w:rsid w:val="00083AD7"/>
    <w:rsid w:val="001943AD"/>
    <w:rsid w:val="001A7250"/>
    <w:rsid w:val="001F16EE"/>
    <w:rsid w:val="00265D52"/>
    <w:rsid w:val="00270787"/>
    <w:rsid w:val="00361488"/>
    <w:rsid w:val="00393045"/>
    <w:rsid w:val="003E009D"/>
    <w:rsid w:val="003E5C3E"/>
    <w:rsid w:val="00480F23"/>
    <w:rsid w:val="004A2943"/>
    <w:rsid w:val="004B51A2"/>
    <w:rsid w:val="00500C91"/>
    <w:rsid w:val="005072CC"/>
    <w:rsid w:val="005B0033"/>
    <w:rsid w:val="005F2CAD"/>
    <w:rsid w:val="006553EE"/>
    <w:rsid w:val="00773D5E"/>
    <w:rsid w:val="007D056D"/>
    <w:rsid w:val="00880B17"/>
    <w:rsid w:val="00887B19"/>
    <w:rsid w:val="008D54B4"/>
    <w:rsid w:val="008E40EA"/>
    <w:rsid w:val="008F309E"/>
    <w:rsid w:val="00916C94"/>
    <w:rsid w:val="0097313B"/>
    <w:rsid w:val="00AE09CE"/>
    <w:rsid w:val="00AE5D57"/>
    <w:rsid w:val="00B84082"/>
    <w:rsid w:val="00B93E61"/>
    <w:rsid w:val="00C83A5E"/>
    <w:rsid w:val="00CA3D32"/>
    <w:rsid w:val="00CE554D"/>
    <w:rsid w:val="00CE5E4D"/>
    <w:rsid w:val="00D16F77"/>
    <w:rsid w:val="00D42641"/>
    <w:rsid w:val="00D60A9B"/>
    <w:rsid w:val="00DD639A"/>
    <w:rsid w:val="00E3283A"/>
    <w:rsid w:val="00F906C4"/>
    <w:rsid w:val="00FF542E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97CF"/>
  <w15:chartTrackingRefBased/>
  <w15:docId w15:val="{8C50C798-93C5-4127-855C-B882FE4C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00C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83AD7"/>
    <w:rPr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083AD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93E6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3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3E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3E6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E6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E61"/>
    <w:rPr>
      <w:rFonts w:ascii="Segoe UI" w:hAnsi="Segoe UI" w:cs="Segoe UI"/>
      <w:sz w:val="18"/>
      <w:szCs w:val="18"/>
      <w:lang w:eastAsia="en-US"/>
    </w:rPr>
  </w:style>
  <w:style w:type="character" w:styleId="Zstupntext">
    <w:name w:val="Placeholder Text"/>
    <w:basedOn w:val="Standardnpsmoodstavce"/>
    <w:uiPriority w:val="99"/>
    <w:semiHidden/>
    <w:rsid w:val="00500C9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00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3E009D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009D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980121AF3B4FEDADA57B4C8B232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B5DB8-5914-42E7-AC6E-E0C353276650}"/>
      </w:docPartPr>
      <w:docPartBody>
        <w:p w:rsidR="00F50DE3" w:rsidRDefault="003813BA" w:rsidP="003813BA">
          <w:pPr>
            <w:pStyle w:val="D3980121AF3B4FEDADA57B4C8B232C26"/>
          </w:pPr>
          <w:r>
            <w:rPr>
              <w:rStyle w:val="Zstupntext"/>
            </w:rPr>
            <w:t>OP</w:t>
          </w:r>
        </w:p>
      </w:docPartBody>
    </w:docPart>
    <w:docPart>
      <w:docPartPr>
        <w:name w:val="5F271338CD214BE5A944EBCCE1048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35D51-1318-4A37-B8C5-9A6CF3D6B932}"/>
      </w:docPartPr>
      <w:docPartBody>
        <w:p w:rsidR="00F50DE3" w:rsidRDefault="003813BA" w:rsidP="003813BA">
          <w:pPr>
            <w:pStyle w:val="5F271338CD214BE5A944EBCCE1048577"/>
          </w:pPr>
          <w:r w:rsidRPr="00B9163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BA"/>
    <w:rsid w:val="001038C3"/>
    <w:rsid w:val="001E3059"/>
    <w:rsid w:val="00230E31"/>
    <w:rsid w:val="003813BA"/>
    <w:rsid w:val="00436CDF"/>
    <w:rsid w:val="00683CDE"/>
    <w:rsid w:val="008E4E90"/>
    <w:rsid w:val="00F5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13BA"/>
    <w:rPr>
      <w:color w:val="808080"/>
    </w:rPr>
  </w:style>
  <w:style w:type="paragraph" w:customStyle="1" w:styleId="D3980121AF3B4FEDADA57B4C8B232C26">
    <w:name w:val="D3980121AF3B4FEDADA57B4C8B232C26"/>
    <w:rsid w:val="003813BA"/>
    <w:rPr>
      <w:rFonts w:ascii="Calibri" w:eastAsia="Calibri" w:hAnsi="Calibri" w:cs="Times New Roman"/>
      <w:lang w:eastAsia="en-US"/>
    </w:rPr>
  </w:style>
  <w:style w:type="paragraph" w:customStyle="1" w:styleId="5F271338CD214BE5A944EBCCE1048577">
    <w:name w:val="5F271338CD214BE5A944EBCCE1048577"/>
    <w:rsid w:val="003813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861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5933</CharactersWithSpaces>
  <SharedDoc>false</SharedDoc>
  <HLinks>
    <vt:vector size="12" baseType="variant">
      <vt:variant>
        <vt:i4>4456463</vt:i4>
      </vt:variant>
      <vt:variant>
        <vt:i4>3</vt:i4>
      </vt:variant>
      <vt:variant>
        <vt:i4>0</vt:i4>
      </vt:variant>
      <vt:variant>
        <vt:i4>5</vt:i4>
      </vt:variant>
      <vt:variant>
        <vt:lpwstr>http://www.rada-severovychod.cz/irop</vt:lpwstr>
      </vt:variant>
      <vt:variant>
        <vt:lpwstr/>
      </vt:variant>
      <vt:variant>
        <vt:i4>5701648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http://www.strukturalni-fondy.cz/cs/Microsites/IROP/Uvodni-strana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Bálek Pavel Ing.</dc:creator>
  <cp:keywords/>
  <dc:description/>
  <cp:lastModifiedBy>Římánek Vladimír Ing.</cp:lastModifiedBy>
  <cp:revision>5</cp:revision>
  <cp:lastPrinted>2016-04-18T07:13:00Z</cp:lastPrinted>
  <dcterms:created xsi:type="dcterms:W3CDTF">2016-04-18T06:56:00Z</dcterms:created>
  <dcterms:modified xsi:type="dcterms:W3CDTF">2016-04-18T10:15:00Z</dcterms:modified>
</cp:coreProperties>
</file>